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1D69" w14:textId="52A3AAE7" w:rsidR="00BA6EB0" w:rsidRPr="00BA6EB0" w:rsidRDefault="00BA6EB0" w:rsidP="00BA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BA6EB0">
        <w:rPr>
          <w:rFonts w:ascii="Times New Roman" w:eastAsia="Calibri" w:hAnsi="Times New Roman" w:cs="Times New Roman"/>
          <w:color w:val="000000"/>
        </w:rPr>
        <w:t>Załącznik B.16</w:t>
      </w:r>
      <w:r>
        <w:rPr>
          <w:rFonts w:ascii="Times New Roman" w:eastAsia="Calibri" w:hAnsi="Times New Roman" w:cs="Times New Roman"/>
          <w:color w:val="000000"/>
        </w:rPr>
        <w:t>3</w:t>
      </w:r>
      <w:r w:rsidRPr="00BA6EB0">
        <w:rPr>
          <w:rFonts w:ascii="Times New Roman" w:eastAsia="Calibri" w:hAnsi="Times New Roman" w:cs="Times New Roman"/>
          <w:color w:val="000000"/>
        </w:rPr>
        <w:t>.</w:t>
      </w:r>
      <w:r>
        <w:rPr>
          <w:rFonts w:ascii="Times New Roman" w:eastAsia="Calibri" w:hAnsi="Times New Roman" w:cs="Times New Roman"/>
          <w:color w:val="000000"/>
        </w:rPr>
        <w:t>FM.</w:t>
      </w:r>
    </w:p>
    <w:p w14:paraId="518D026F" w14:textId="77777777" w:rsidR="00BA6EB0" w:rsidRPr="00BA6EB0" w:rsidRDefault="00BA6EB0" w:rsidP="00BA6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4B8181EA" w14:textId="05A20BC7" w:rsidR="00225901" w:rsidRPr="00736E5D" w:rsidRDefault="00BA6EB0" w:rsidP="00225901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36E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LECZENIE CHORYCH NA CZERNIAKA BŁONY NACZYNIOWEJ OKA </w:t>
      </w:r>
      <w:r w:rsidR="00225901" w:rsidRPr="00736E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(ICD-10: C69, C69.3, C69.4)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679"/>
        <w:gridCol w:w="5042"/>
      </w:tblGrid>
      <w:tr w:rsidR="00225901" w:rsidRPr="00736E5D" w14:paraId="3D36B641" w14:textId="77777777" w:rsidTr="00F76449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61CE5E" w14:textId="77777777" w:rsidR="00225901" w:rsidRPr="00736E5D" w:rsidRDefault="00225901" w:rsidP="002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225901" w:rsidRPr="00736E5D" w14:paraId="29E6F1A2" w14:textId="77777777" w:rsidTr="00F76449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AA7BD" w14:textId="77777777" w:rsidR="00225901" w:rsidRPr="00736E5D" w:rsidRDefault="00225901" w:rsidP="002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1EC7C" w14:textId="77777777" w:rsidR="00225901" w:rsidRPr="00736E5D" w:rsidRDefault="00225901" w:rsidP="002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SCHEMAT DAWKOWANIA LEKÓW </w:t>
            </w: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W PROGRAMIE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D9F70A" w14:textId="77777777" w:rsidR="00225901" w:rsidRPr="00736E5D" w:rsidRDefault="00225901" w:rsidP="002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BADANIA DIAGNOSTYCZNE WYKONYWANE </w:t>
            </w: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W RAMACH PROGRAMU</w:t>
            </w:r>
          </w:p>
        </w:tc>
      </w:tr>
      <w:tr w:rsidR="00225901" w:rsidRPr="00225901" w14:paraId="23A1474A" w14:textId="77777777" w:rsidTr="00736E5D">
        <w:trPr>
          <w:trHeight w:val="552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093C5" w14:textId="77777777" w:rsidR="00225901" w:rsidRPr="00736E5D" w:rsidRDefault="00225901" w:rsidP="00BA6EB0">
            <w:p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Czerniaka Błony Naczyniowej Oka, powoływany przez Prezesa Narodowego Funduszu Zdrowia.</w:t>
            </w:r>
          </w:p>
          <w:p w14:paraId="2BC19DB9" w14:textId="77777777" w:rsidR="00225901" w:rsidRPr="00736E5D" w:rsidRDefault="00225901" w:rsidP="00BA6EB0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C7BAD" w14:textId="77777777" w:rsidR="00225901" w:rsidRPr="00736E5D" w:rsidRDefault="00225901" w:rsidP="00BA6EB0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kwalifikacji do leczenia </w:t>
            </w:r>
            <w:proofErr w:type="spellStart"/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tebentafuspem</w:t>
            </w:r>
            <w:proofErr w:type="spellEnd"/>
          </w:p>
          <w:p w14:paraId="68B181E6" w14:textId="77777777" w:rsidR="00225901" w:rsidRPr="00736E5D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wzrost lub zagrożenie rozwoju guza poza gałkę oczną i brak możliwości postępowania terapeutycznego po zastosowaniu dostępnych metod leczenia miejscowego (dopuszczalna jest wcześniejsza resekcja chirurgiczna choroby </w:t>
            </w:r>
            <w:proofErr w:type="spellStart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oligometastatycznej</w:t>
            </w:r>
            <w:proofErr w:type="spellEnd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7CD13D87" w14:textId="77777777" w:rsidR="00225901" w:rsidRPr="00736E5D" w:rsidRDefault="00225901" w:rsidP="00BA6EB0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0232503E" w14:textId="77777777" w:rsidR="00225901" w:rsidRPr="00BA6EB0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przerzutów czerniaka błony naczyniowej stwierdzana w badaniach obrazowych wymienionych w punkcie „badania przy kwalifikacji do leczenia”;</w:t>
            </w:r>
          </w:p>
          <w:p w14:paraId="5F3D1916" w14:textId="0D8C1738" w:rsidR="00225901" w:rsidRPr="00736E5D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histologiczne lub cytologiczne potwierdzenie czerniaka błony naczyniowej oka;</w:t>
            </w:r>
          </w:p>
          <w:p w14:paraId="45F85489" w14:textId="77777777" w:rsidR="00225901" w:rsidRPr="00736E5D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potwierdzona obecność antygenu </w:t>
            </w:r>
            <w:proofErr w:type="spellStart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leukocytarnego</w:t>
            </w:r>
            <w:proofErr w:type="spellEnd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(HLA)-A*02:01;</w:t>
            </w:r>
          </w:p>
          <w:p w14:paraId="62CFD9B1" w14:textId="77777777" w:rsidR="00225901" w:rsidRPr="00736E5D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 18 lat i powyżej;</w:t>
            </w:r>
          </w:p>
          <w:p w14:paraId="5ADF57E8" w14:textId="77777777" w:rsidR="00225901" w:rsidRPr="00736E5D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stopień sprawności 0 lub 1 według skali ECOG;</w:t>
            </w:r>
          </w:p>
          <w:p w14:paraId="29F50527" w14:textId="58589D42" w:rsidR="00DB0E6F" w:rsidRPr="00736E5D" w:rsidRDefault="00DB0E6F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odstęp </w:t>
            </w:r>
            <w:proofErr w:type="spellStart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QTc</w:t>
            </w:r>
            <w:proofErr w:type="spellEnd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≤ 500 ms;</w:t>
            </w:r>
          </w:p>
          <w:p w14:paraId="453C3BBE" w14:textId="77777777" w:rsidR="00225901" w:rsidRPr="00736E5D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brak wcześniejszej terapii systemowej czerniaka błony naczyniowej oka (nie dotyczy terapii </w:t>
            </w:r>
            <w:proofErr w:type="spellStart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neoadjuwantowej</w:t>
            </w:r>
            <w:proofErr w:type="spellEnd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adjuwantowej</w:t>
            </w:r>
            <w:proofErr w:type="spellEnd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stosowanej w leczeniu radykalnym pacjentów z chorobą miejscową);</w:t>
            </w:r>
          </w:p>
          <w:p w14:paraId="32CCC769" w14:textId="77777777" w:rsidR="00225901" w:rsidRPr="00736E5D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E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współistnienia innych aktywnych nowotworów kwalifikacja do leczenia musi uwzględniać rokowanie związane ze współistniejącym nowotworem;</w:t>
            </w:r>
          </w:p>
          <w:p w14:paraId="750AC362" w14:textId="77777777" w:rsidR="00225901" w:rsidRPr="00736E5D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wykluczenie ciąży i okresu karmienia piersią;</w:t>
            </w:r>
          </w:p>
          <w:p w14:paraId="38F6884E" w14:textId="77777777" w:rsidR="00225901" w:rsidRPr="00BA6EB0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E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adekwatna wydolność narządowa określona na podstawie wyników badań laboratoryjnych krwi zgodnie z zapisami aktualnej Charakterystyki Produktu Leczniczego (zwanej dalej </w:t>
            </w:r>
            <w:proofErr w:type="spellStart"/>
            <w:r w:rsidRPr="00BA6E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BA6E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64D7DBFF" w14:textId="77777777" w:rsidR="00225901" w:rsidRPr="00BA6EB0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E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nieobecność istotnych schorzeń współistniejących i stanów klinicznych stanowiących przeciwwskazanie do terapii, stwierdzonych przez lekarza prowadzącego w oparciu o aktualną </w:t>
            </w:r>
            <w:proofErr w:type="spellStart"/>
            <w:r w:rsidRPr="00BA6E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BA6E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wiedzę medyczną;</w:t>
            </w:r>
          </w:p>
          <w:p w14:paraId="481FA04D" w14:textId="77777777" w:rsidR="00225901" w:rsidRPr="00736E5D" w:rsidRDefault="00225901" w:rsidP="00BA6EB0">
            <w:pPr>
              <w:numPr>
                <w:ilvl w:val="2"/>
                <w:numId w:val="2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zgoda pacjenta na prowadzenie antykoncepcji zgodnie z aktualną </w:t>
            </w:r>
            <w:proofErr w:type="spellStart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0557B93" w14:textId="77777777" w:rsidR="00225901" w:rsidRPr="00736E5D" w:rsidRDefault="00225901" w:rsidP="00BA6EB0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726275" w14:textId="77777777" w:rsidR="00225901" w:rsidRPr="00736E5D" w:rsidRDefault="00225901" w:rsidP="00BA6EB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 kryteria kwalifikacji muszą być spełnione łącznie.</w:t>
            </w:r>
          </w:p>
          <w:p w14:paraId="41381B37" w14:textId="77777777" w:rsidR="00225901" w:rsidRPr="00736E5D" w:rsidRDefault="00225901" w:rsidP="00BA6EB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 do programu lekowego kwalifikowani są również pacjenci wymagający kontynuacji leczenia, którzy byli leczeni dotychczas w ramach innego sposobu finansowania terapii, za wyjątkiem trwających badań klinicznych tego leku, pod warunkiem, że w chwili rozpoczęcia leczenia spełniali kryteria kwalifikacji do programu lekowego.</w:t>
            </w:r>
          </w:p>
          <w:p w14:paraId="2078E6BF" w14:textId="77777777" w:rsidR="00225901" w:rsidRPr="00736E5D" w:rsidRDefault="00225901" w:rsidP="00BA6EB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38F817" w14:textId="77777777" w:rsidR="00225901" w:rsidRPr="00736E5D" w:rsidRDefault="00225901" w:rsidP="009F6D9F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799267DD" w14:textId="77777777" w:rsidR="00225901" w:rsidRPr="00736E5D" w:rsidRDefault="00225901" w:rsidP="00BA6EB0">
            <w:p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 trwa do czasu podjęcia przez Zespół Koordynacyjny ds. Leczenia Czerniaka Błony Naczyniowej Oka</w:t>
            </w:r>
            <w:r w:rsidRPr="00736E5D" w:rsidDel="00A75C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lekarza </w:t>
            </w: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prowadzącego decyzji o wyłączeniu świadczeniobiorcy z programu, zgodnie z kryteriami wyłączenia.</w:t>
            </w:r>
          </w:p>
          <w:p w14:paraId="00A77D81" w14:textId="77777777" w:rsidR="00225901" w:rsidRPr="00736E5D" w:rsidRDefault="00225901" w:rsidP="00BA6EB0">
            <w:p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48666DA" w14:textId="77777777" w:rsidR="00225901" w:rsidRPr="00736E5D" w:rsidRDefault="00225901" w:rsidP="009F6D9F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 z programu</w:t>
            </w:r>
          </w:p>
          <w:p w14:paraId="4977E7FE" w14:textId="77777777" w:rsidR="00225901" w:rsidRPr="00736E5D" w:rsidRDefault="00225901" w:rsidP="009F6D9F">
            <w:pPr>
              <w:numPr>
                <w:ilvl w:val="2"/>
                <w:numId w:val="17"/>
              </w:num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progresja choroby ocenianej zgodnie z aktualnie obowiązującymi  kryteriami RECIST;</w:t>
            </w:r>
          </w:p>
          <w:p w14:paraId="47595CB1" w14:textId="77777777" w:rsidR="00941297" w:rsidRPr="00736E5D" w:rsidRDefault="00941297" w:rsidP="00BA6EB0">
            <w:p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 się możliwość kontynuacji leczenia w programie u chorych z progresją choroby w przypadku:</w:t>
            </w:r>
          </w:p>
          <w:p w14:paraId="7184A075" w14:textId="77777777" w:rsidR="00941297" w:rsidRPr="00736E5D" w:rsidRDefault="00941297" w:rsidP="00BA6EB0">
            <w:pPr>
              <w:pStyle w:val="Akapitzlist"/>
              <w:numPr>
                <w:ilvl w:val="0"/>
                <w:numId w:val="15"/>
              </w:numPr>
              <w:tabs>
                <w:tab w:val="left" w:pos="-4253"/>
              </w:tabs>
              <w:suppressAutoHyphens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 klinicznych objawów progresji,</w:t>
            </w:r>
          </w:p>
          <w:p w14:paraId="3A4B1824" w14:textId="77777777" w:rsidR="00941297" w:rsidRPr="00736E5D" w:rsidRDefault="00941297" w:rsidP="00BA6EB0">
            <w:pPr>
              <w:pStyle w:val="Akapitzlist"/>
              <w:numPr>
                <w:ilvl w:val="0"/>
                <w:numId w:val="15"/>
              </w:numPr>
              <w:tabs>
                <w:tab w:val="left" w:pos="-4253"/>
              </w:tabs>
              <w:suppressAutoHyphens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 pogorszenia stanu sprawności według kryteriów ECOG,</w:t>
            </w:r>
          </w:p>
          <w:p w14:paraId="4BA09F0E" w14:textId="77777777" w:rsidR="00941297" w:rsidRPr="00736E5D" w:rsidRDefault="00941297" w:rsidP="00BA6EB0">
            <w:pPr>
              <w:pStyle w:val="Akapitzlist"/>
              <w:numPr>
                <w:ilvl w:val="0"/>
                <w:numId w:val="15"/>
              </w:numPr>
              <w:tabs>
                <w:tab w:val="left" w:pos="-4253"/>
              </w:tabs>
              <w:suppressAutoHyphens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 zagrożenia niewydolnością narządów.</w:t>
            </w:r>
          </w:p>
          <w:p w14:paraId="465DE4D3" w14:textId="77777777" w:rsidR="00941297" w:rsidRPr="00736E5D" w:rsidRDefault="00941297" w:rsidP="00BA6EB0">
            <w:p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przerwać leczenie, które było kontynuowane po progresji, gdy stwierdza się co najmniej jedno z poniższych:</w:t>
            </w:r>
          </w:p>
          <w:p w14:paraId="2C40744A" w14:textId="078EA5B0" w:rsidR="00941297" w:rsidRPr="00736E5D" w:rsidRDefault="00941297" w:rsidP="009F6D9F">
            <w:pPr>
              <w:pStyle w:val="Akapitzlist"/>
              <w:numPr>
                <w:ilvl w:val="0"/>
                <w:numId w:val="12"/>
              </w:numPr>
              <w:tabs>
                <w:tab w:val="left" w:pos="-4253"/>
              </w:tabs>
              <w:suppressAutoHyphens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ponowny wzrost sumy wymiarów ocenianych zmian (z uwzględnieniem nowych zmian mierzalnych) o co najmniej 20% z jednoczesnym wzrostem tej sumy o co najmniej 5 mm</w:t>
            </w:r>
            <w:r w:rsid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EDDF5AF" w14:textId="1F2D8577" w:rsidR="00941297" w:rsidRPr="00736E5D" w:rsidRDefault="00941297" w:rsidP="009F6D9F">
            <w:pPr>
              <w:pStyle w:val="Akapitzlist"/>
              <w:numPr>
                <w:ilvl w:val="0"/>
                <w:numId w:val="12"/>
              </w:numPr>
              <w:tabs>
                <w:tab w:val="left" w:pos="-4253"/>
              </w:tabs>
              <w:suppressAutoHyphens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jednoznaczna progresja zmian pozostałych</w:t>
            </w:r>
            <w:r w:rsid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AAD185A" w14:textId="77777777" w:rsidR="00941297" w:rsidRPr="00736E5D" w:rsidRDefault="00941297" w:rsidP="009F6D9F">
            <w:pPr>
              <w:pStyle w:val="Akapitzlist"/>
              <w:numPr>
                <w:ilvl w:val="0"/>
                <w:numId w:val="12"/>
              </w:numPr>
              <w:tabs>
                <w:tab w:val="left" w:pos="-4253"/>
              </w:tabs>
              <w:suppressAutoHyphens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nowa zmiana.</w:t>
            </w:r>
          </w:p>
          <w:p w14:paraId="180BCA10" w14:textId="77777777" w:rsidR="00225901" w:rsidRPr="00736E5D" w:rsidRDefault="00225901" w:rsidP="009F6D9F">
            <w:pPr>
              <w:numPr>
                <w:ilvl w:val="2"/>
                <w:numId w:val="17"/>
              </w:num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nadwrażliwości na lek lub na którąkolwiek substancję pomocniczą;</w:t>
            </w:r>
          </w:p>
          <w:p w14:paraId="17538E3F" w14:textId="77777777" w:rsidR="00225901" w:rsidRPr="00736E5D" w:rsidRDefault="00225901" w:rsidP="009F6D9F">
            <w:pPr>
              <w:numPr>
                <w:ilvl w:val="2"/>
                <w:numId w:val="17"/>
              </w:num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działań niepożądanych związanych z lekiem uniemożliwiających jego dalsze stosowanie;</w:t>
            </w:r>
          </w:p>
          <w:p w14:paraId="7B84D6D5" w14:textId="77777777" w:rsidR="00225901" w:rsidRPr="00736E5D" w:rsidRDefault="00225901" w:rsidP="009F6D9F">
            <w:pPr>
              <w:numPr>
                <w:ilvl w:val="2"/>
                <w:numId w:val="17"/>
              </w:num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3232A250" w14:textId="77777777" w:rsidR="00225901" w:rsidRPr="00736E5D" w:rsidRDefault="00225901" w:rsidP="009F6D9F">
            <w:pPr>
              <w:numPr>
                <w:ilvl w:val="2"/>
                <w:numId w:val="17"/>
              </w:num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wystąpienie chorób lub stanów, które w opinii Zespołu Koordynacyjnego ds. Leczenia Czerniaka Błony Naczyniowej </w:t>
            </w: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Oka lub lekarza prowadzącego uniemożliwiają dalsze prowadzenie leczenia;</w:t>
            </w:r>
          </w:p>
          <w:p w14:paraId="5B89B77E" w14:textId="77777777" w:rsidR="00225901" w:rsidRPr="00736E5D" w:rsidRDefault="00225901" w:rsidP="009F6D9F">
            <w:pPr>
              <w:numPr>
                <w:ilvl w:val="2"/>
                <w:numId w:val="17"/>
              </w:num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pogorszenie stanu sprawności o 1 lub 2 stopnie, w zależności od wartości przy kwalifikacji, ale maksymalnie do wartości 3 wg skali ECOG;</w:t>
            </w:r>
          </w:p>
          <w:p w14:paraId="4D515435" w14:textId="77777777" w:rsidR="00225901" w:rsidRPr="00736E5D" w:rsidRDefault="00225901" w:rsidP="009F6D9F">
            <w:pPr>
              <w:numPr>
                <w:ilvl w:val="2"/>
                <w:numId w:val="17"/>
              </w:num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ciąży lub karmienia piersią;</w:t>
            </w:r>
          </w:p>
          <w:p w14:paraId="441863A0" w14:textId="77777777" w:rsidR="00225901" w:rsidRPr="009F6D9F" w:rsidRDefault="00225901" w:rsidP="009F6D9F">
            <w:pPr>
              <w:numPr>
                <w:ilvl w:val="2"/>
                <w:numId w:val="17"/>
              </w:numPr>
              <w:tabs>
                <w:tab w:val="left" w:pos="-4253"/>
              </w:tabs>
              <w:suppressAutoHyphens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opiekuna prawnego.</w:t>
            </w:r>
          </w:p>
          <w:p w14:paraId="76B2B9F4" w14:textId="77777777" w:rsidR="00225901" w:rsidRPr="00736E5D" w:rsidRDefault="00225901" w:rsidP="00225901">
            <w:pPr>
              <w:autoSpaceDE w:val="0"/>
              <w:autoSpaceDN w:val="0"/>
              <w:adjustRightInd w:val="0"/>
              <w:spacing w:before="4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4B4C2" w14:textId="77777777" w:rsidR="00225901" w:rsidRPr="00736E5D" w:rsidRDefault="00225901" w:rsidP="009F6D9F">
            <w:p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Sposób podawania oraz ewentualne czasowe wstrzymania leczenia, prowadzone zgodnie z aktualną Charakterystyką Produktu Leczniczego (</w:t>
            </w:r>
            <w:proofErr w:type="spellStart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4728EC44" w14:textId="77777777" w:rsidR="00225901" w:rsidRPr="00736E5D" w:rsidRDefault="00225901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7FCD47C" w14:textId="77777777" w:rsidR="00225901" w:rsidRPr="00736E5D" w:rsidRDefault="00225901" w:rsidP="009F6D9F">
            <w:pPr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</w:p>
          <w:p w14:paraId="09704795" w14:textId="77777777" w:rsidR="00225901" w:rsidRPr="00736E5D" w:rsidRDefault="00225901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Maksymalne dawki </w:t>
            </w:r>
            <w:proofErr w:type="spellStart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tabentafuspu</w:t>
            </w:r>
            <w:proofErr w:type="spellEnd"/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376CAE3" w14:textId="77777777" w:rsidR="00225901" w:rsidRPr="009F6D9F" w:rsidRDefault="00225901" w:rsidP="009F6D9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 µg – 1. dnia;</w:t>
            </w:r>
          </w:p>
          <w:p w14:paraId="6F52434C" w14:textId="77777777" w:rsidR="00225901" w:rsidRPr="009F6D9F" w:rsidRDefault="00225901" w:rsidP="009F6D9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 µg – 8. dnia;</w:t>
            </w:r>
          </w:p>
          <w:p w14:paraId="41ECBCD6" w14:textId="77777777" w:rsidR="00225901" w:rsidRPr="009F6D9F" w:rsidRDefault="00225901" w:rsidP="009F6D9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 µg– 15. dnia;</w:t>
            </w:r>
          </w:p>
          <w:p w14:paraId="621EC952" w14:textId="77777777" w:rsidR="00225901" w:rsidRDefault="00225901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6E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 68 µg co tydzień.</w:t>
            </w:r>
          </w:p>
          <w:p w14:paraId="7141B4F9" w14:textId="585476D5" w:rsidR="009F6D9F" w:rsidRPr="00736E5D" w:rsidRDefault="009F6D9F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AAEC" w14:textId="77777777" w:rsidR="00225901" w:rsidRPr="009F6D9F" w:rsidRDefault="00225901" w:rsidP="009F6D9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 przy kwalifikacji do leczenia</w:t>
            </w:r>
          </w:p>
          <w:p w14:paraId="2D51D9F5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test do </w:t>
            </w:r>
            <w:proofErr w:type="spellStart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genotypowania</w:t>
            </w:r>
            <w:proofErr w:type="spellEnd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HLA w celu potwierdzenia występowania u pacjenta genotypu HLA-A*02:01;</w:t>
            </w:r>
          </w:p>
          <w:p w14:paraId="382344A7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histologiczne lub cytologiczne w celu potwierdzenia czerniaka błony naczyniowej oka;</w:t>
            </w:r>
          </w:p>
          <w:p w14:paraId="3C0D85EF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rozmazem;</w:t>
            </w:r>
          </w:p>
          <w:p w14:paraId="6DD7FA16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bilirubiny we krwi;</w:t>
            </w:r>
          </w:p>
          <w:p w14:paraId="11A21D26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kreatyniny we krwi;</w:t>
            </w:r>
          </w:p>
          <w:p w14:paraId="1344F7B9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we krwi;</w:t>
            </w:r>
          </w:p>
          <w:p w14:paraId="57E04188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we krwi;</w:t>
            </w:r>
          </w:p>
          <w:p w14:paraId="513EE9A1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fosfatazy zasadowej we krwi;</w:t>
            </w:r>
          </w:p>
          <w:p w14:paraId="1E2DE97F" w14:textId="6FE78622" w:rsidR="00941297" w:rsidRPr="009F6D9F" w:rsidRDefault="00941297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dehydrogenazy mleczanowej we krwi;</w:t>
            </w:r>
          </w:p>
          <w:p w14:paraId="1ACCEFBB" w14:textId="654FE577" w:rsidR="00DB0E6F" w:rsidRPr="009F6D9F" w:rsidRDefault="00DB0E6F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elektrolitów we krwi (sód i potas);</w:t>
            </w:r>
          </w:p>
          <w:p w14:paraId="75959C8D" w14:textId="44492146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ultrasonograficzne gałki ocznej w celu oceny wielkości guza</w:t>
            </w:r>
            <w:r w:rsidR="00941297"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 przypadku choroby pierwotnej)</w:t>
            </w: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7A3CFFA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obrazowe potwierdzające obecność przerzutów:</w:t>
            </w:r>
          </w:p>
          <w:p w14:paraId="4008DB42" w14:textId="5FE16077" w:rsidR="00DB0E6F" w:rsidRPr="009F6D9F" w:rsidRDefault="00DB0E6F" w:rsidP="009F6D9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badanie tomografii komputerowej lub rezonans magnetyczny mózgu</w:t>
            </w:r>
            <w:r w:rsid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DA4D6E9" w14:textId="5095E51B" w:rsidR="00DB0E6F" w:rsidRPr="009F6D9F" w:rsidRDefault="00DB0E6F" w:rsidP="009F6D9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tomografii komputerowej klatki piersiowej, jamy brzusznej i miednicy</w:t>
            </w:r>
            <w:r w:rsid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FFA1AF5" w14:textId="77F58099" w:rsidR="00DB0E6F" w:rsidRPr="009F6D9F" w:rsidRDefault="00DB0E6F" w:rsidP="009F6D9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tomografii komputerowej lub inne badania obrazowe w zależności od sytuacji klinicznej</w:t>
            </w:r>
            <w:r w:rsid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57ECA6F" w14:textId="5F55C9B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elektrokardiogram (EKG)</w:t>
            </w:r>
            <w:r w:rsidR="00DB0E6F"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oceną odstępu </w:t>
            </w:r>
            <w:proofErr w:type="spellStart"/>
            <w:r w:rsidR="00DB0E6F"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QTc</w:t>
            </w:r>
            <w:proofErr w:type="spellEnd"/>
            <w:r w:rsidR="00DB0E6F"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 przypadkach wątpliwych – konsultacja kardiologiczna)</w:t>
            </w: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C28E91B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 ciążowy u kobiet w wieku rozrodczym;</w:t>
            </w:r>
          </w:p>
          <w:p w14:paraId="53E2B918" w14:textId="646FFB70" w:rsidR="00DB0E6F" w:rsidRPr="009F6D9F" w:rsidRDefault="00DB0E6F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pełne badanie przedmiotowe z oceną całej skóry;</w:t>
            </w:r>
          </w:p>
          <w:p w14:paraId="3883700D" w14:textId="77777777" w:rsidR="00225901" w:rsidRPr="009F6D9F" w:rsidRDefault="00225901" w:rsidP="009F6D9F">
            <w:pPr>
              <w:numPr>
                <w:ilvl w:val="2"/>
                <w:numId w:val="1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 badania laboratoryjne i obrazowe w razie wskazań klinicznych.</w:t>
            </w:r>
          </w:p>
          <w:p w14:paraId="256E61E4" w14:textId="77777777" w:rsidR="00225901" w:rsidRPr="009F6D9F" w:rsidRDefault="00225901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AE2007" w14:textId="77777777" w:rsidR="00225901" w:rsidRDefault="00225901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Wstępne badania obrazowe muszą umożliwić późniejszą obiektywną ocenę odpowiedzi na leczenie wg aktualnych kryteriów RECIST.</w:t>
            </w:r>
          </w:p>
          <w:p w14:paraId="4226CEC0" w14:textId="77777777" w:rsidR="009F6D9F" w:rsidRPr="009F6D9F" w:rsidRDefault="009F6D9F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0F68DD" w14:textId="77777777" w:rsidR="00225901" w:rsidRPr="009F6D9F" w:rsidRDefault="00225901" w:rsidP="009F6D9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 leczenia</w:t>
            </w:r>
          </w:p>
          <w:p w14:paraId="3736A23B" w14:textId="77777777" w:rsidR="00225901" w:rsidRPr="009F6D9F" w:rsidRDefault="00225901" w:rsidP="009F6D9F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 bezpieczeństwa leczenia</w:t>
            </w:r>
          </w:p>
          <w:p w14:paraId="45FA70E6" w14:textId="77777777" w:rsidR="00225901" w:rsidRPr="009F6D9F" w:rsidRDefault="00225901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rozmazem;</w:t>
            </w:r>
          </w:p>
          <w:p w14:paraId="33C9FBA0" w14:textId="77777777" w:rsidR="00225901" w:rsidRPr="009F6D9F" w:rsidRDefault="00225901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bilirubiny we krwi;</w:t>
            </w:r>
          </w:p>
          <w:p w14:paraId="66C6FB52" w14:textId="77777777" w:rsidR="00225901" w:rsidRPr="009F6D9F" w:rsidRDefault="00225901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kreatyniny we krwi;</w:t>
            </w:r>
          </w:p>
          <w:p w14:paraId="7AA45C97" w14:textId="77777777" w:rsidR="00225901" w:rsidRPr="009F6D9F" w:rsidRDefault="00225901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we krwi;</w:t>
            </w:r>
          </w:p>
          <w:p w14:paraId="0E810AF7" w14:textId="77777777" w:rsidR="00225901" w:rsidRPr="009F6D9F" w:rsidRDefault="00225901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we krwi;</w:t>
            </w:r>
          </w:p>
          <w:p w14:paraId="078E4DD2" w14:textId="77777777" w:rsidR="00225901" w:rsidRPr="009F6D9F" w:rsidRDefault="00225901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fosfatazy zasadowej we krwi;</w:t>
            </w:r>
          </w:p>
          <w:p w14:paraId="263258FC" w14:textId="2B51212B" w:rsidR="00DB0E6F" w:rsidRPr="009F6D9F" w:rsidRDefault="00DB0E6F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dehydrogenazy mleczanowej we krwi;</w:t>
            </w:r>
          </w:p>
          <w:p w14:paraId="259629C1" w14:textId="57875CAA" w:rsidR="00BA42B4" w:rsidRPr="009F6D9F" w:rsidRDefault="00BA42B4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oznaczenie stężenia elektrolitów we krwi (sód i potas);</w:t>
            </w:r>
          </w:p>
          <w:p w14:paraId="780A7A6B" w14:textId="2C74AA36" w:rsidR="00BA42B4" w:rsidRPr="009F6D9F" w:rsidRDefault="00BA42B4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pełne badanie przedmiotowe z oceną całej skóry;</w:t>
            </w:r>
          </w:p>
          <w:p w14:paraId="794C2B95" w14:textId="77777777" w:rsidR="00225901" w:rsidRPr="009F6D9F" w:rsidRDefault="00225901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 ciążowy (u kobiet w wieku rozrodczym);</w:t>
            </w:r>
          </w:p>
          <w:p w14:paraId="7A30D91A" w14:textId="72F57DC1" w:rsidR="00225901" w:rsidRPr="009F6D9F" w:rsidRDefault="00225901" w:rsidP="009F6D9F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EKG </w:t>
            </w:r>
            <w:r w:rsidR="00BA42B4"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oceną odstępu </w:t>
            </w:r>
            <w:proofErr w:type="spellStart"/>
            <w:r w:rsidR="00BA42B4"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QTc</w:t>
            </w:r>
            <w:proofErr w:type="spellEnd"/>
            <w:r w:rsidR="00BA42B4"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razie wskazań klinicznych;</w:t>
            </w:r>
          </w:p>
          <w:p w14:paraId="3F05C2E4" w14:textId="77777777" w:rsidR="00225901" w:rsidRPr="009F6D9F" w:rsidRDefault="00225901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Badania wykonuje się co minimum 3 tygodnie (+/- 1 tydzień) </w:t>
            </w:r>
          </w:p>
          <w:p w14:paraId="6E3F070D" w14:textId="77777777" w:rsidR="00225901" w:rsidRPr="009F6D9F" w:rsidRDefault="00225901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monitorujące bezpieczeństwo mogą być wykonywane częściej w przypadku wskazań klinicznych.</w:t>
            </w:r>
          </w:p>
          <w:p w14:paraId="02FE710B" w14:textId="77777777" w:rsidR="00225901" w:rsidRPr="009F6D9F" w:rsidRDefault="00225901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435516" w14:textId="77777777" w:rsidR="00225901" w:rsidRPr="009F6D9F" w:rsidRDefault="00225901" w:rsidP="009F6D9F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 skuteczności leczenia</w:t>
            </w:r>
          </w:p>
          <w:p w14:paraId="10241FA3" w14:textId="77777777" w:rsidR="00225901" w:rsidRPr="009F6D9F" w:rsidRDefault="00225901" w:rsidP="009F6D9F">
            <w:pPr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kliniczna wraz z diagnostyką obrazową celem obiektywnej oceny odpowiedzi na leczenie:</w:t>
            </w:r>
          </w:p>
          <w:p w14:paraId="54DE7752" w14:textId="3A093372" w:rsidR="00225901" w:rsidRPr="009F6D9F" w:rsidRDefault="00225901" w:rsidP="009F6D9F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ultrasonografia gałki ocznej</w:t>
            </w:r>
            <w:r w:rsid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5946D16" w14:textId="77777777" w:rsidR="00225901" w:rsidRPr="009F6D9F" w:rsidRDefault="00225901" w:rsidP="009F6D9F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TK lub MR głowy, klatki piersiowej, jamy brzusznej i miednicy; </w:t>
            </w:r>
          </w:p>
          <w:p w14:paraId="5A29DF33" w14:textId="77777777" w:rsidR="00225901" w:rsidRPr="009F6D9F" w:rsidRDefault="00225901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wykonuje się co 12 tygodni.</w:t>
            </w:r>
          </w:p>
          <w:p w14:paraId="68D4C946" w14:textId="6DD57686" w:rsidR="00941297" w:rsidRPr="009F6D9F" w:rsidRDefault="00941297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Badania obrazowe w celu ponownej oceny skuteczności leczenia po </w:t>
            </w:r>
            <w:proofErr w:type="spellStart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pseudoprogresji</w:t>
            </w:r>
            <w:proofErr w:type="spellEnd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należy wykonać w odstępie 4 tygodni od oceny, w której wykazano </w:t>
            </w:r>
            <w:proofErr w:type="spellStart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pseudoprogresję</w:t>
            </w:r>
            <w:proofErr w:type="spellEnd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DBDD201" w14:textId="77777777" w:rsidR="00941297" w:rsidRPr="009F6D9F" w:rsidRDefault="00941297" w:rsidP="009F6D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3F33C1" w14:textId="77777777" w:rsidR="00225901" w:rsidRPr="009F6D9F" w:rsidRDefault="00225901" w:rsidP="009F6D9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podstawie ww. badań w celu monitorowania skuteczności leczenia Zespół Koordynacyjny ds. Leczenia Czerniaka Błony Naczyniowej Oka określa dla indywidualnego pacjenta wskaźniki odpowiedzi na leczenie, w tym:</w:t>
            </w:r>
          </w:p>
          <w:p w14:paraId="7AB11F3E" w14:textId="77777777" w:rsidR="00225901" w:rsidRPr="009F6D9F" w:rsidRDefault="00225901" w:rsidP="009F6D9F">
            <w:pPr>
              <w:numPr>
                <w:ilvl w:val="2"/>
                <w:numId w:val="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całkowitą (CR) lub częściową odpowiedz (PR) na leczenie,</w:t>
            </w:r>
          </w:p>
          <w:p w14:paraId="78088D33" w14:textId="77777777" w:rsidR="00225901" w:rsidRPr="009F6D9F" w:rsidRDefault="00225901" w:rsidP="009F6D9F">
            <w:pPr>
              <w:numPr>
                <w:ilvl w:val="2"/>
                <w:numId w:val="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stabilizację (SD) lub progresję choroby (PD),</w:t>
            </w:r>
          </w:p>
          <w:p w14:paraId="7B1DCB25" w14:textId="77777777" w:rsidR="00225901" w:rsidRPr="009F6D9F" w:rsidRDefault="00225901" w:rsidP="009F6D9F">
            <w:pPr>
              <w:numPr>
                <w:ilvl w:val="2"/>
                <w:numId w:val="9"/>
              </w:num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 przeżycie (OS) i czas do progresji (PFS).</w:t>
            </w:r>
          </w:p>
          <w:p w14:paraId="410740C1" w14:textId="77777777" w:rsidR="00225901" w:rsidRPr="009F6D9F" w:rsidRDefault="00225901" w:rsidP="009F6D9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4BFEC2" w14:textId="77777777" w:rsidR="00225901" w:rsidRPr="009F6D9F" w:rsidRDefault="00225901" w:rsidP="009F6D9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>Ocena odpowiedzi na leczenie powinna być przeprowadzona zgodnie z aktualnymi kryteriami RECIST, w miarę możliwości z wykorzystaniem tego samego rodzaju badań obrazowych, które były zastosowane podczas kwalifikacji do leczenia.</w:t>
            </w:r>
          </w:p>
          <w:p w14:paraId="54793FBA" w14:textId="77777777" w:rsidR="00225901" w:rsidRPr="009F6D9F" w:rsidRDefault="00225901" w:rsidP="009F6D9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gromadzone są w elektronicznym systemie monitorowania programów lekowych i analizowane przez Zespół Koordynacyjny ds. Leczenia Czerniaka Błony Naczyniowej Oka, który podsumowuje wyniki leczenia w programie lekowym na koniec każdego roku.</w:t>
            </w:r>
          </w:p>
          <w:p w14:paraId="4A8EA7F3" w14:textId="77777777" w:rsidR="00225901" w:rsidRPr="009F6D9F" w:rsidRDefault="00225901" w:rsidP="009F6D9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CDE5E6" w14:textId="77777777" w:rsidR="00225901" w:rsidRPr="009F6D9F" w:rsidRDefault="00225901" w:rsidP="009F6D9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 programu</w:t>
            </w:r>
          </w:p>
          <w:p w14:paraId="3EF9937A" w14:textId="77777777" w:rsidR="00225901" w:rsidRPr="009F6D9F" w:rsidRDefault="00225901" w:rsidP="005012C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 każdorazowe ich przedstawianie na żądanie kontrolerów Narodowego Funduszu Zdrowia;</w:t>
            </w:r>
          </w:p>
          <w:p w14:paraId="079B90E1" w14:textId="77777777" w:rsidR="00225901" w:rsidRPr="009F6D9F" w:rsidRDefault="00225901" w:rsidP="005012C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dla indywidualnego pacjenta, spośród:</w:t>
            </w:r>
          </w:p>
          <w:p w14:paraId="7611CE3E" w14:textId="77777777" w:rsidR="00225901" w:rsidRPr="009F6D9F" w:rsidRDefault="00225901" w:rsidP="005012CF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przeżycie całkowite (OS), tj. czas od daty podania pierwszej dawki leku do daty zgonu z jakiejkolwiek przyczyny – </w:t>
            </w: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przeżycie całkowite z oczekiwaną medianą 21,7 miesiąca;</w:t>
            </w:r>
          </w:p>
          <w:p w14:paraId="24221DCE" w14:textId="77777777" w:rsidR="00225901" w:rsidRPr="009F6D9F" w:rsidRDefault="00225901" w:rsidP="005012CF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przeżycie wolne od progresji (PFS), tj. czas od daty podania pierwszej dawki leku do daty pierwszej </w:t>
            </w: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udokumentowanej progresji choroby lub zgonu z jakiejkolwiek przyczyny – </w:t>
            </w: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przeżycie wolne od progresji z oczekiwaną medianą 3,3 miesiąca;</w:t>
            </w:r>
          </w:p>
          <w:p w14:paraId="4BDE3649" w14:textId="77777777" w:rsidR="00225901" w:rsidRPr="009F6D9F" w:rsidRDefault="00225901" w:rsidP="005012CF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najlepsza ogólna odpowiedź (</w:t>
            </w:r>
            <w:proofErr w:type="spellStart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BoR</w:t>
            </w:r>
            <w:proofErr w:type="spellEnd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), </w:t>
            </w: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 oczekiwaną medianą 0,4%;</w:t>
            </w:r>
          </w:p>
          <w:p w14:paraId="26D56F2E" w14:textId="77777777" w:rsidR="00225901" w:rsidRPr="009F6D9F" w:rsidRDefault="00225901" w:rsidP="005012CF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wskaźnik obiektywnej odpowiedzi (ORR), tj. odsetek pacjentów z odpowiedzią na leczenie w postaci pełnej odpowiedzi (CR) lub częściowej odpowiedzi (PR) – </w:t>
            </w: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wskaźnik odpowiedzi obiektywnych na oczekiwanym poziomie 10,3%;</w:t>
            </w:r>
          </w:p>
          <w:p w14:paraId="6516F753" w14:textId="77777777" w:rsidR="00225901" w:rsidRPr="005012CF" w:rsidRDefault="00225901" w:rsidP="005012CF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12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czas trwania odpowiedzi na leczenie (DOR) – </w:t>
            </w:r>
            <w:r w:rsidRPr="00501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 oczekiwaną medianą 9,9 miesiąca;</w:t>
            </w:r>
          </w:p>
          <w:p w14:paraId="3D1B0D29" w14:textId="77777777" w:rsidR="00225901" w:rsidRPr="005012CF" w:rsidRDefault="00225901" w:rsidP="005012CF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12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czas do odpowiedzi (TTR) – </w:t>
            </w:r>
            <w:r w:rsidRPr="005012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 oczekiwaną medianą 2,9 miesiąca</w:t>
            </w:r>
            <w:r w:rsidRPr="005012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1D4A7D9" w14:textId="77777777" w:rsidR="00225901" w:rsidRPr="009F6D9F" w:rsidRDefault="00225901" w:rsidP="005012CF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wskaźnik kontroli choroby (DCR), tj. odsetek pacjentów, u których nastąpiła pełna odpowiedź, częściowa odpowiedź lub ustabilizowanie choroby – </w:t>
            </w: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 oczekiwaną medianą 31%;</w:t>
            </w:r>
          </w:p>
          <w:p w14:paraId="66381462" w14:textId="77777777" w:rsidR="00225901" w:rsidRPr="009F6D9F" w:rsidRDefault="00225901" w:rsidP="005012CF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jakość życia uwarunkowana stanem zdrowia (</w:t>
            </w:r>
            <w:proofErr w:type="spellStart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HRQoL</w:t>
            </w:r>
            <w:proofErr w:type="spellEnd"/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oceniana na podstawie stanu zdrowia pacjentów przy użyciu narzędzi EORTC QLQ-C30 oraz EQ-5D,5L) – </w:t>
            </w:r>
            <w:r w:rsidRPr="009F6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oczekiwany jest brak obniżenia jakości życia w stosunku do stanu wyjściowego lub jego polepszenie.</w:t>
            </w:r>
          </w:p>
          <w:p w14:paraId="0D02654D" w14:textId="77777777" w:rsidR="00225901" w:rsidRDefault="00225901" w:rsidP="009F6D9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6D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 (informacje przekazuje się do NFZ w formie papierowej lub w formie elektronicznej, zgodnie z wymaganiami opublikowanymi przez Narodowy Fundusz Zdrowia).</w:t>
            </w:r>
          </w:p>
          <w:p w14:paraId="1072EAAA" w14:textId="77777777" w:rsidR="005012CF" w:rsidRPr="00736E5D" w:rsidRDefault="005012CF" w:rsidP="005012C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D3898F4" w14:textId="77777777" w:rsidR="00225901" w:rsidRPr="00225901" w:rsidRDefault="00225901" w:rsidP="0022590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225901" w:rsidRPr="00225901" w:rsidSect="00CB7F7E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0BA8"/>
    <w:multiLevelType w:val="hybridMultilevel"/>
    <w:tmpl w:val="80302F58"/>
    <w:lvl w:ilvl="0" w:tplc="85D0100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D1AB5"/>
    <w:multiLevelType w:val="multilevel"/>
    <w:tmpl w:val="6F0A3E24"/>
    <w:lvl w:ilvl="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AE21569"/>
    <w:multiLevelType w:val="multilevel"/>
    <w:tmpl w:val="B6C08398"/>
    <w:lvl w:ilvl="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41C01A1"/>
    <w:multiLevelType w:val="multilevel"/>
    <w:tmpl w:val="8D5A1858"/>
    <w:numStyleLink w:val="Programylekowe"/>
  </w:abstractNum>
  <w:abstractNum w:abstractNumId="4" w15:restartNumberingAfterBreak="0">
    <w:nsid w:val="2EB934D3"/>
    <w:multiLevelType w:val="multilevel"/>
    <w:tmpl w:val="9D16BE64"/>
    <w:lvl w:ilvl="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0822D4C"/>
    <w:multiLevelType w:val="hybridMultilevel"/>
    <w:tmpl w:val="998CF9BC"/>
    <w:lvl w:ilvl="0" w:tplc="83FE19A0">
      <w:start w:val="1"/>
      <w:numFmt w:val="lowerLetter"/>
      <w:suff w:val="space"/>
      <w:lvlText w:val="%1)"/>
      <w:lvlJc w:val="left"/>
      <w:pPr>
        <w:ind w:left="45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35D86CA4"/>
    <w:multiLevelType w:val="multilevel"/>
    <w:tmpl w:val="8D5A1858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3A30CA4"/>
    <w:multiLevelType w:val="multilevel"/>
    <w:tmpl w:val="8D5A1858"/>
    <w:styleLink w:val="Programylekowe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7345D82"/>
    <w:multiLevelType w:val="multilevel"/>
    <w:tmpl w:val="8D5A1858"/>
    <w:numStyleLink w:val="Programylekowe"/>
  </w:abstractNum>
  <w:abstractNum w:abstractNumId="9" w15:restartNumberingAfterBreak="0">
    <w:nsid w:val="490C26B0"/>
    <w:multiLevelType w:val="hybridMultilevel"/>
    <w:tmpl w:val="80302F58"/>
    <w:lvl w:ilvl="0" w:tplc="FFFFFFFF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22BFF"/>
    <w:multiLevelType w:val="multilevel"/>
    <w:tmpl w:val="3B56BCF0"/>
    <w:lvl w:ilvl="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b w:val="0"/>
        <w:bCs w:val="0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577D2B5F"/>
    <w:multiLevelType w:val="multilevel"/>
    <w:tmpl w:val="8D5A1858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7A21FE4"/>
    <w:multiLevelType w:val="multilevel"/>
    <w:tmpl w:val="8D5A1858"/>
    <w:numStyleLink w:val="Programylekowe"/>
  </w:abstractNum>
  <w:abstractNum w:abstractNumId="13" w15:restartNumberingAfterBreak="0">
    <w:nsid w:val="64AF656B"/>
    <w:multiLevelType w:val="hybridMultilevel"/>
    <w:tmpl w:val="04A4831E"/>
    <w:lvl w:ilvl="0" w:tplc="25A205CC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4E158C1"/>
    <w:multiLevelType w:val="hybridMultilevel"/>
    <w:tmpl w:val="6A2468E8"/>
    <w:lvl w:ilvl="0" w:tplc="B06EF45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67A74"/>
    <w:multiLevelType w:val="multilevel"/>
    <w:tmpl w:val="8D5A1858"/>
    <w:numStyleLink w:val="Programylekowe"/>
  </w:abstractNum>
  <w:abstractNum w:abstractNumId="16" w15:restartNumberingAfterBreak="0">
    <w:nsid w:val="7A427B32"/>
    <w:multiLevelType w:val="hybridMultilevel"/>
    <w:tmpl w:val="25DCE86A"/>
    <w:lvl w:ilvl="0" w:tplc="E368B7CE">
      <w:start w:val="1"/>
      <w:numFmt w:val="lowerLetter"/>
      <w:suff w:val="space"/>
      <w:lvlText w:val="%1)"/>
      <w:lvlJc w:val="left"/>
      <w:pPr>
        <w:ind w:left="397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7" w15:restartNumberingAfterBreak="0">
    <w:nsid w:val="7D1A345C"/>
    <w:multiLevelType w:val="hybridMultilevel"/>
    <w:tmpl w:val="9D7AF90A"/>
    <w:lvl w:ilvl="0" w:tplc="70060422">
      <w:start w:val="1"/>
      <w:numFmt w:val="bullet"/>
      <w:suff w:val="space"/>
      <w:lvlText w:val=""/>
      <w:lvlJc w:val="left"/>
      <w:pPr>
        <w:ind w:left="0" w:firstLine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 w16cid:durableId="1028604506">
    <w:abstractNumId w:val="7"/>
  </w:num>
  <w:num w:numId="2" w16cid:durableId="871765202">
    <w:abstractNumId w:val="3"/>
  </w:num>
  <w:num w:numId="3" w16cid:durableId="1558740852">
    <w:abstractNumId w:val="15"/>
    <w:lvlOverride w:ilvl="0">
      <w:lvl w:ilvl="0">
        <w:start w:val="1"/>
        <w:numFmt w:val="decimal"/>
        <w:suff w:val="space"/>
        <w:lvlText w:val="%1."/>
        <w:lvlJc w:val="left"/>
        <w:pPr>
          <w:ind w:left="397" w:hanging="397"/>
        </w:pPr>
        <w:rPr>
          <w:rFonts w:ascii="Times New Roman" w:eastAsia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454" w:hanging="454"/>
        </w:pPr>
        <w:rPr>
          <w:rFonts w:ascii="Times New Roman" w:hAnsi="Times New Roman" w:hint="default"/>
          <w:b w:val="0"/>
          <w:i w:val="0"/>
          <w:sz w:val="20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227" w:hanging="227"/>
        </w:pPr>
        <w:rPr>
          <w:rFonts w:ascii="Times New Roman" w:hAnsi="Times New Roman" w:hint="default"/>
          <w:sz w:val="20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935" w:hanging="227"/>
        </w:pPr>
        <w:rPr>
          <w:rFonts w:ascii="Times New Roman" w:hAnsi="Times New Roman" w:hint="default"/>
          <w:sz w:val="20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878" w:hanging="17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4" w16cid:durableId="524681333">
    <w:abstractNumId w:val="8"/>
  </w:num>
  <w:num w:numId="5" w16cid:durableId="1145196440">
    <w:abstractNumId w:val="12"/>
  </w:num>
  <w:num w:numId="6" w16cid:durableId="1190099523">
    <w:abstractNumId w:val="2"/>
  </w:num>
  <w:num w:numId="7" w16cid:durableId="805583631">
    <w:abstractNumId w:val="10"/>
  </w:num>
  <w:num w:numId="8" w16cid:durableId="1841195489">
    <w:abstractNumId w:val="4"/>
  </w:num>
  <w:num w:numId="9" w16cid:durableId="645819920">
    <w:abstractNumId w:val="1"/>
  </w:num>
  <w:num w:numId="10" w16cid:durableId="990520621">
    <w:abstractNumId w:val="0"/>
  </w:num>
  <w:num w:numId="11" w16cid:durableId="1410038294">
    <w:abstractNumId w:val="13"/>
  </w:num>
  <w:num w:numId="12" w16cid:durableId="930773249">
    <w:abstractNumId w:val="16"/>
  </w:num>
  <w:num w:numId="13" w16cid:durableId="444227067">
    <w:abstractNumId w:val="5"/>
  </w:num>
  <w:num w:numId="14" w16cid:durableId="1928728266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97" w:hanging="397"/>
        </w:pPr>
        <w:rPr>
          <w:rFonts w:ascii="Times New Roman" w:eastAsia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454" w:hanging="454"/>
        </w:pPr>
        <w:rPr>
          <w:rFonts w:ascii="Times New Roman" w:hAnsi="Times New Roman" w:hint="default"/>
          <w:b w:val="0"/>
          <w:i w:val="0"/>
          <w:sz w:val="20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227" w:hanging="227"/>
        </w:pPr>
        <w:rPr>
          <w:rFonts w:ascii="Times New Roman" w:hAnsi="Times New Roman" w:hint="default"/>
          <w:sz w:val="20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935" w:hanging="227"/>
        </w:pPr>
        <w:rPr>
          <w:rFonts w:ascii="Times New Roman" w:hAnsi="Times New Roman" w:hint="default"/>
          <w:sz w:val="20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878" w:hanging="17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15" w16cid:durableId="2092191237">
    <w:abstractNumId w:val="17"/>
  </w:num>
  <w:num w:numId="16" w16cid:durableId="1990471804">
    <w:abstractNumId w:val="9"/>
  </w:num>
  <w:num w:numId="17" w16cid:durableId="618074683">
    <w:abstractNumId w:val="6"/>
  </w:num>
  <w:num w:numId="18" w16cid:durableId="1860317666">
    <w:abstractNumId w:val="14"/>
  </w:num>
  <w:num w:numId="19" w16cid:durableId="2739039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75"/>
    <w:rsid w:val="001C205E"/>
    <w:rsid w:val="00225901"/>
    <w:rsid w:val="002A30B4"/>
    <w:rsid w:val="004A2DD1"/>
    <w:rsid w:val="004D291F"/>
    <w:rsid w:val="005012CF"/>
    <w:rsid w:val="00736E5D"/>
    <w:rsid w:val="00826C22"/>
    <w:rsid w:val="00941297"/>
    <w:rsid w:val="009F6D9F"/>
    <w:rsid w:val="00AA5E03"/>
    <w:rsid w:val="00BA42B4"/>
    <w:rsid w:val="00BA6EB0"/>
    <w:rsid w:val="00DB0E6F"/>
    <w:rsid w:val="00E14C36"/>
    <w:rsid w:val="00E35175"/>
    <w:rsid w:val="00E501A0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5E9F"/>
  <w15:chartTrackingRefBased/>
  <w15:docId w15:val="{F6A22E81-16A3-4551-BEA7-CFE3A999C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ogramylekowe">
    <w:name w:val="Programy lekowe"/>
    <w:uiPriority w:val="99"/>
    <w:rsid w:val="00225901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5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5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59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501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129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29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1408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Morawiec Wioleta</dc:creator>
  <cp:keywords/>
  <dc:description/>
  <cp:lastModifiedBy>Wilk Justyna</cp:lastModifiedBy>
  <cp:revision>6</cp:revision>
  <dcterms:created xsi:type="dcterms:W3CDTF">2024-06-11T07:11:00Z</dcterms:created>
  <dcterms:modified xsi:type="dcterms:W3CDTF">2024-06-11T11:14:00Z</dcterms:modified>
</cp:coreProperties>
</file>